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02"/>
      </w:tblGrid>
      <w:tr w:rsidR="00AE7C06" w:rsidRPr="00AE7C06" w14:paraId="78726FED" w14:textId="77777777" w:rsidTr="00D67D75">
        <w:tc>
          <w:tcPr>
            <w:tcW w:w="3402" w:type="dxa"/>
          </w:tcPr>
          <w:p w14:paraId="5E0B741D" w14:textId="77777777" w:rsidR="00AE7C06" w:rsidRPr="00AE7C06" w:rsidRDefault="00AE7C06" w:rsidP="00AE7C06">
            <w:pPr>
              <w:jc w:val="center"/>
              <w:rPr>
                <w:sz w:val="20"/>
              </w:rPr>
            </w:pPr>
            <w:r w:rsidRPr="00AE7C06">
              <w:rPr>
                <w:noProof/>
                <w:sz w:val="20"/>
              </w:rPr>
              <w:drawing>
                <wp:inline distT="0" distB="0" distL="0" distR="0" wp14:anchorId="70EE52FE" wp14:editId="01F2BDC8">
                  <wp:extent cx="342900" cy="438150"/>
                  <wp:effectExtent l="0" t="0" r="0" b="0"/>
                  <wp:docPr id="2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7C06" w:rsidRPr="007276D0" w14:paraId="3A892F4A" w14:textId="77777777" w:rsidTr="00D67D75">
        <w:tc>
          <w:tcPr>
            <w:tcW w:w="3402" w:type="dxa"/>
          </w:tcPr>
          <w:p w14:paraId="593CBD73" w14:textId="77777777" w:rsidR="00AE7C06" w:rsidRPr="007276D0" w:rsidRDefault="00AE7C06" w:rsidP="00AE7C06">
            <w:pPr>
              <w:ind w:right="51"/>
              <w:jc w:val="center"/>
              <w:rPr>
                <w:b/>
              </w:rPr>
            </w:pPr>
          </w:p>
          <w:p w14:paraId="0A3CC36A" w14:textId="77777777" w:rsidR="00AE7C06" w:rsidRPr="007276D0" w:rsidRDefault="00AE7C06" w:rsidP="00AE7C06">
            <w:pPr>
              <w:ind w:right="51"/>
              <w:jc w:val="center"/>
              <w:rPr>
                <w:b/>
              </w:rPr>
            </w:pPr>
            <w:r w:rsidRPr="007276D0">
              <w:rPr>
                <w:b/>
              </w:rPr>
              <w:t>REPUBLIKA HRVATSKA</w:t>
            </w:r>
          </w:p>
          <w:p w14:paraId="58217CCB" w14:textId="77777777" w:rsidR="00AE7C06" w:rsidRPr="007276D0" w:rsidRDefault="00AE7C06" w:rsidP="00AE7C06">
            <w:pPr>
              <w:ind w:right="51"/>
              <w:jc w:val="center"/>
              <w:rPr>
                <w:b/>
              </w:rPr>
            </w:pPr>
            <w:r w:rsidRPr="007276D0">
              <w:rPr>
                <w:b/>
              </w:rPr>
              <w:t>ZAGREBAČKA ŽUPANIJA</w:t>
            </w:r>
          </w:p>
          <w:p w14:paraId="17BD55EF" w14:textId="77777777" w:rsidR="00AE7C06" w:rsidRPr="007276D0" w:rsidRDefault="00AE7C06" w:rsidP="00AE7C06">
            <w:pPr>
              <w:ind w:right="51"/>
              <w:jc w:val="center"/>
              <w:rPr>
                <w:b/>
              </w:rPr>
            </w:pPr>
            <w:r w:rsidRPr="007276D0">
              <w:rPr>
                <w:b/>
              </w:rPr>
              <w:t>GRAD VELIKA GORICA</w:t>
            </w:r>
          </w:p>
          <w:p w14:paraId="559671AA" w14:textId="77777777" w:rsidR="00AE7C06" w:rsidRPr="007276D0" w:rsidRDefault="00AE0874" w:rsidP="00AE7C06">
            <w:pPr>
              <w:ind w:right="51"/>
              <w:jc w:val="center"/>
              <w:rPr>
                <w:b/>
              </w:rPr>
            </w:pPr>
            <w:r>
              <w:rPr>
                <w:b/>
              </w:rPr>
              <w:t>Služba</w:t>
            </w:r>
            <w:r w:rsidR="00A765DD" w:rsidRPr="007276D0">
              <w:rPr>
                <w:b/>
              </w:rPr>
              <w:t xml:space="preserve"> za financije</w:t>
            </w:r>
          </w:p>
          <w:p w14:paraId="0793574F" w14:textId="77777777" w:rsidR="00AE7C06" w:rsidRPr="007276D0" w:rsidRDefault="00AE7C06" w:rsidP="00AE7C06">
            <w:pPr>
              <w:jc w:val="center"/>
            </w:pPr>
            <w:r w:rsidRPr="007276D0">
              <w:t>Velika Gorica, Trg kralja Tomislava  34</w:t>
            </w:r>
          </w:p>
        </w:tc>
      </w:tr>
      <w:tr w:rsidR="00F9244D" w:rsidRPr="007276D0" w14:paraId="50A9CD72" w14:textId="77777777" w:rsidTr="00D67D75">
        <w:tc>
          <w:tcPr>
            <w:tcW w:w="3402" w:type="dxa"/>
          </w:tcPr>
          <w:p w14:paraId="3BE80F90" w14:textId="77777777" w:rsidR="00F9244D" w:rsidRPr="007276D0" w:rsidRDefault="00F9244D" w:rsidP="00AE7C06">
            <w:pPr>
              <w:ind w:right="51"/>
              <w:jc w:val="center"/>
              <w:rPr>
                <w:b/>
              </w:rPr>
            </w:pPr>
          </w:p>
        </w:tc>
      </w:tr>
    </w:tbl>
    <w:p w14:paraId="1D3B68DB" w14:textId="77777777" w:rsidR="00AE7C06" w:rsidRPr="007276D0" w:rsidRDefault="00AE7C06" w:rsidP="00AE7C06">
      <w:pPr>
        <w:spacing w:line="240" w:lineRule="exact"/>
      </w:pPr>
    </w:p>
    <w:p w14:paraId="0B325641" w14:textId="77777777" w:rsidR="00AE7C06" w:rsidRPr="00F9244D" w:rsidRDefault="00AE7C06" w:rsidP="00F9244D">
      <w:pPr>
        <w:ind w:firstLine="708"/>
        <w:jc w:val="center"/>
        <w:rPr>
          <w:b/>
        </w:rPr>
      </w:pPr>
      <w:r w:rsidRPr="00F9244D">
        <w:rPr>
          <w:b/>
        </w:rPr>
        <w:t>Prijedlog Odluke o visini paušalnog poreza po krevetu, smještajnoj jedinici u kampu i smještajnoj jedinici u objektu za robinzonski smještaj</w:t>
      </w:r>
      <w:r w:rsidR="008F361D" w:rsidRPr="00F9244D">
        <w:rPr>
          <w:b/>
        </w:rPr>
        <w:t>.</w:t>
      </w:r>
    </w:p>
    <w:p w14:paraId="2523B409" w14:textId="77777777" w:rsidR="00AE7C06" w:rsidRPr="00F9244D" w:rsidRDefault="00AE7C06" w:rsidP="00F9244D">
      <w:pPr>
        <w:jc w:val="center"/>
        <w:rPr>
          <w:b/>
        </w:rPr>
      </w:pPr>
    </w:p>
    <w:p w14:paraId="65BE8E7D" w14:textId="77777777" w:rsidR="00AE7C06" w:rsidRPr="003238AE" w:rsidRDefault="00AE7C06" w:rsidP="00AE7C06"/>
    <w:p w14:paraId="5A6D4DB7" w14:textId="77777777" w:rsidR="00AE7C06" w:rsidRPr="003238AE" w:rsidRDefault="00AE7C06" w:rsidP="00AE7C06">
      <w:pPr>
        <w:jc w:val="center"/>
        <w:rPr>
          <w:b/>
        </w:rPr>
      </w:pPr>
      <w:r w:rsidRPr="003238AE">
        <w:rPr>
          <w:b/>
        </w:rPr>
        <w:t>O b r a z l o ž e n j e</w:t>
      </w:r>
    </w:p>
    <w:p w14:paraId="2E4B4C6F" w14:textId="77777777" w:rsidR="00AE7C06" w:rsidRPr="003238AE" w:rsidRDefault="00AE7C06" w:rsidP="00AE7C06"/>
    <w:p w14:paraId="19C007D5" w14:textId="77777777" w:rsidR="00AE0874" w:rsidRDefault="00AE0874" w:rsidP="00AE0874">
      <w:pPr>
        <w:ind w:firstLine="708"/>
        <w:jc w:val="both"/>
      </w:pPr>
      <w:r w:rsidRPr="003238AE">
        <w:t xml:space="preserve">Pravni temelj za donošenje Odluke o visini paušalnog poreza po krevetu, smještajnoj jedinici u kampu i smještajnoj jedinici u objektu za robinzonski smještaj </w:t>
      </w:r>
      <w:r>
        <w:t xml:space="preserve">(u daljnjem tekstu: Odluka) </w:t>
      </w:r>
      <w:r w:rsidRPr="003238AE">
        <w:t xml:space="preserve">sadržan je u članku 57. Zakona o porezu na dohodak </w:t>
      </w:r>
      <w:r w:rsidRPr="00BB200C">
        <w:t>(</w:t>
      </w:r>
      <w:r w:rsidRPr="000A38B3">
        <w:t>N</w:t>
      </w:r>
      <w:r>
        <w:t>aredne novine</w:t>
      </w:r>
      <w:r w:rsidRPr="000A38B3">
        <w:t xml:space="preserve"> br. 115/16., 106/18.,</w:t>
      </w:r>
      <w:r>
        <w:t xml:space="preserve"> 121/19., 32/20., 138/20., 151/22., 114/23.</w:t>
      </w:r>
      <w:r w:rsidRPr="00BB200C">
        <w:t xml:space="preserve">) </w:t>
      </w:r>
      <w:r w:rsidRPr="003238AE">
        <w:t>te članku 2. Pravilnika o paušalnom oporezivanju djelatnosti iznajmljivanja i organiziranja smještaja u turizmu (</w:t>
      </w:r>
      <w:r w:rsidRPr="000A38B3">
        <w:t>N</w:t>
      </w:r>
      <w:r>
        <w:t>aredne novine</w:t>
      </w:r>
      <w:r w:rsidRPr="000A38B3">
        <w:t xml:space="preserve"> </w:t>
      </w:r>
      <w:r w:rsidRPr="003238AE">
        <w:t>br. 1/19</w:t>
      </w:r>
      <w:r>
        <w:t>.,1/20., 138/20., 1/21., 156/22., 1/24.). Člankom 8. Zakona o izmjenama i dopunama Zakona o porezu na dohodak (Narodne novine, broj 152/24., u daljnjem tekstu Zakon) dopunjuje se članak 57. Zakona o porezu na dohodak kojim je utvrđena  obveza donošenja odluke kojom će se propisati visina paušalnog poreza po krevetu odnosno po smještajnoj jedinici u kampu odnosno po smještajnoj jedinici u objektu za robinzonski smještaj. Odluka se donosi sukladno kategoriji u koju je jedinica lokalne samouprave razvrstana prema indeksu turističke razvijenosti, utvrđenom za prethodnu godinu, sukladno posebnom propisu, u granicama propisanim ovim Zakonom i to:</w:t>
      </w:r>
    </w:p>
    <w:p w14:paraId="76F9311F" w14:textId="77777777" w:rsidR="00AE0874" w:rsidRDefault="00AE0874" w:rsidP="00AE0874">
      <w:pPr>
        <w:ind w:firstLine="708"/>
        <w:jc w:val="both"/>
      </w:pPr>
    </w:p>
    <w:tbl>
      <w:tblPr>
        <w:tblW w:w="6920" w:type="dxa"/>
        <w:jc w:val="center"/>
        <w:tblLook w:val="04A0" w:firstRow="1" w:lastRow="0" w:firstColumn="1" w:lastColumn="0" w:noHBand="0" w:noVBand="1"/>
      </w:tblPr>
      <w:tblGrid>
        <w:gridCol w:w="3940"/>
        <w:gridCol w:w="2980"/>
      </w:tblGrid>
      <w:tr w:rsidR="00AE0874" w:rsidRPr="002F5D3A" w14:paraId="552C686A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E5BAF" w14:textId="77777777" w:rsidR="00AE0874" w:rsidRPr="002F5D3A" w:rsidRDefault="00AE0874" w:rsidP="00A05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Kategorija jedinice lokalne samouprave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384A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Iznos paušalnog poreza u </w:t>
            </w:r>
          </w:p>
        </w:tc>
      </w:tr>
      <w:tr w:rsidR="00AE0874" w:rsidRPr="002F5D3A" w14:paraId="04FB88C5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E9C53" w14:textId="77777777" w:rsidR="00AE0874" w:rsidRPr="002F5D3A" w:rsidRDefault="00AE0874" w:rsidP="00A05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prema indeksu turističke razvijenosti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F29E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eurima i centima </w:t>
            </w:r>
          </w:p>
        </w:tc>
      </w:tr>
      <w:tr w:rsidR="00AE0874" w:rsidRPr="002F5D3A" w14:paraId="0AB5E35B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BA9A4D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E404E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100,00 - 300,00</w:t>
            </w:r>
          </w:p>
        </w:tc>
      </w:tr>
      <w:tr w:rsidR="00AE0874" w:rsidRPr="002F5D3A" w14:paraId="24ED9AAF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C690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7E77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70,00 - 200,00</w:t>
            </w:r>
          </w:p>
        </w:tc>
      </w:tr>
      <w:tr w:rsidR="00AE0874" w:rsidRPr="002F5D3A" w14:paraId="5FC1DABD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54044A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III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5671F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30,00 - 150,00</w:t>
            </w:r>
          </w:p>
        </w:tc>
      </w:tr>
      <w:tr w:rsidR="00AE0874" w:rsidRPr="002F5D3A" w14:paraId="3B2CE48B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173A1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IV,0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DC1B5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20,00 - 100,00</w:t>
            </w:r>
          </w:p>
        </w:tc>
      </w:tr>
    </w:tbl>
    <w:p w14:paraId="44486D48" w14:textId="77777777" w:rsidR="00AE0874" w:rsidRDefault="00AE0874" w:rsidP="00AE0874">
      <w:pPr>
        <w:ind w:firstLine="708"/>
        <w:jc w:val="both"/>
      </w:pPr>
    </w:p>
    <w:p w14:paraId="29953342" w14:textId="77777777" w:rsidR="00AE0874" w:rsidRDefault="00AE0874" w:rsidP="00AE0874">
      <w:pPr>
        <w:ind w:firstLine="708"/>
        <w:jc w:val="both"/>
      </w:pPr>
      <w:r>
        <w:t>Člankom 8. navedenog Zakona  osim navedenog, propisano je: Ako predstavničko tijelo ne donese odluku kojom će se propisati visina paušalnog poreza u propisanom roku, visina paušalnog poreza po smještajnoj jedinici</w:t>
      </w:r>
      <w:r w:rsidRPr="00B47D24">
        <w:t xml:space="preserve"> </w:t>
      </w:r>
      <w:r>
        <w:t>odnosno po smještajnoj jedinici u kampu odnosno po smještajnoj jedinici u objektu za robinzonski smještaj se određuje po kategorijama :</w:t>
      </w:r>
    </w:p>
    <w:p w14:paraId="5BDC251F" w14:textId="77777777" w:rsidR="00AE0874" w:rsidRDefault="00AE0874" w:rsidP="00AE0874">
      <w:pPr>
        <w:ind w:firstLine="708"/>
        <w:jc w:val="both"/>
      </w:pPr>
    </w:p>
    <w:tbl>
      <w:tblPr>
        <w:tblW w:w="6920" w:type="dxa"/>
        <w:jc w:val="center"/>
        <w:tblLook w:val="04A0" w:firstRow="1" w:lastRow="0" w:firstColumn="1" w:lastColumn="0" w:noHBand="0" w:noVBand="1"/>
      </w:tblPr>
      <w:tblGrid>
        <w:gridCol w:w="3940"/>
        <w:gridCol w:w="2980"/>
      </w:tblGrid>
      <w:tr w:rsidR="00AE0874" w:rsidRPr="002F5D3A" w14:paraId="486855E9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EE4E" w14:textId="77777777" w:rsidR="00AE0874" w:rsidRPr="002F5D3A" w:rsidRDefault="00AE0874" w:rsidP="00A05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Kategorija jedinice lokalne samouprave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AEA38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Iznos paušalnog poreza u </w:t>
            </w:r>
          </w:p>
        </w:tc>
      </w:tr>
      <w:tr w:rsidR="00AE0874" w:rsidRPr="002F5D3A" w14:paraId="098B0F53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4B73D" w14:textId="77777777" w:rsidR="00AE0874" w:rsidRPr="002F5D3A" w:rsidRDefault="00AE0874" w:rsidP="00A05BFD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prema indeksu turističke razvijenosti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69911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eurima i centima </w:t>
            </w:r>
          </w:p>
        </w:tc>
      </w:tr>
      <w:tr w:rsidR="00AE0874" w:rsidRPr="002F5D3A" w14:paraId="2C1429A1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D79714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</w:t>
            </w:r>
          </w:p>
        </w:tc>
        <w:tc>
          <w:tcPr>
            <w:tcW w:w="2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BAF63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200,00</w:t>
            </w:r>
          </w:p>
        </w:tc>
      </w:tr>
      <w:tr w:rsidR="00AE0874" w:rsidRPr="002F5D3A" w14:paraId="6A64357E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DD5F7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61B5B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135,00</w:t>
            </w:r>
          </w:p>
        </w:tc>
      </w:tr>
      <w:tr w:rsidR="00AE0874" w:rsidRPr="002F5D3A" w14:paraId="41DEBA77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50EE6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III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94527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90,00</w:t>
            </w:r>
          </w:p>
        </w:tc>
      </w:tr>
      <w:tr w:rsidR="00AE0874" w:rsidRPr="002F5D3A" w14:paraId="028AE387" w14:textId="77777777" w:rsidTr="00A05BFD">
        <w:trPr>
          <w:trHeight w:val="342"/>
          <w:jc w:val="center"/>
        </w:trPr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44425" w14:textId="77777777" w:rsidR="00AE0874" w:rsidRPr="002F5D3A" w:rsidRDefault="00AE0874" w:rsidP="00A05BFD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F5D3A">
              <w:rPr>
                <w:rFonts w:ascii="Calibri" w:hAnsi="Calibri" w:cs="Calibri"/>
                <w:color w:val="000000"/>
                <w:sz w:val="22"/>
                <w:szCs w:val="22"/>
              </w:rPr>
              <w:t>IV,0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6FBE8" w14:textId="77777777" w:rsidR="00AE0874" w:rsidRPr="002F5D3A" w:rsidRDefault="00AE0874" w:rsidP="000F6F9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60,00</w:t>
            </w:r>
          </w:p>
        </w:tc>
      </w:tr>
    </w:tbl>
    <w:p w14:paraId="2547696B" w14:textId="77777777" w:rsidR="00AE0874" w:rsidRDefault="00AE0874" w:rsidP="00AE0874">
      <w:pPr>
        <w:ind w:firstLine="708"/>
        <w:jc w:val="both"/>
      </w:pPr>
    </w:p>
    <w:p w14:paraId="3FA3EA44" w14:textId="77777777" w:rsidR="00AE0874" w:rsidRDefault="00AE0874" w:rsidP="00AE0874">
      <w:pPr>
        <w:ind w:firstLine="708"/>
        <w:jc w:val="both"/>
      </w:pPr>
      <w:r>
        <w:t>Nadalje, člankom 15.</w:t>
      </w:r>
      <w:r w:rsidRPr="00D333AE">
        <w:t xml:space="preserve"> </w:t>
      </w:r>
      <w:r>
        <w:t>Zakona propisano je da je predstavničko tijelo jedinice lokalne samouprave obvezno  donijeti novu odluku do 28. veljače 2025. godine ako je visina paušalnog poreza po krevetu odnosno smještajnoj jedinici u kampu odnosno po smještajnoj jedinici u objektu za robinzonski smještaj po prethodno donesenoj odluci izvan granica propisanih člankom 8. Zakona. Ukoliko se odluka  ne donese u propisanom roku visina paušalnog poreza određuje se sukladno članku 57. stavku 7. koji je dodan člankom 8. Zakona</w:t>
      </w:r>
      <w:r w:rsidRPr="00FA002F">
        <w:t xml:space="preserve"> </w:t>
      </w:r>
      <w:r>
        <w:t>o izmjenama i dopunama Zakona o porezu na dohodak.</w:t>
      </w:r>
    </w:p>
    <w:p w14:paraId="0E5F0C9F" w14:textId="77777777" w:rsidR="00AE0874" w:rsidRDefault="00AE0874" w:rsidP="00AE0874">
      <w:pPr>
        <w:ind w:firstLine="708"/>
        <w:jc w:val="both"/>
      </w:pPr>
    </w:p>
    <w:p w14:paraId="6F73E209" w14:textId="77777777" w:rsidR="00AE0874" w:rsidRDefault="00A1758E" w:rsidP="00AE0874">
      <w:pPr>
        <w:ind w:firstLine="708"/>
        <w:jc w:val="both"/>
      </w:pPr>
      <w:r>
        <w:t xml:space="preserve">Budući da je </w:t>
      </w:r>
      <w:r w:rsidR="00AE0874">
        <w:t>Grad Velika Gorica prema indeksu turističke razvijenosti svrstan u III. kategoriju, a da je prethodnom Odlukom o visini paušalnog poreza po krevetu, smještajnoj jedinici u kampu i smještajnoj jedinici u objektu za robinzonski smještaj u Gradu Velikoj Gorici (Službeni glasnik, broj 1/19.) propisana visina paušalnog poreza izvan granica propisanih člankom 8. Zakona (150,00 kuna, 180,00 kuna i  250,00 kuna</w:t>
      </w:r>
      <w:r w:rsidR="000F6F9F">
        <w:t xml:space="preserve">, </w:t>
      </w:r>
      <w:r w:rsidR="00AE0874">
        <w:t xml:space="preserve">ovisno o naselju u kojem se nalazi </w:t>
      </w:r>
      <w:r w:rsidR="000F6F9F">
        <w:t>smještajna jedinica</w:t>
      </w:r>
      <w:r w:rsidR="00AE0874">
        <w:t>, a što u eurima iznosi 19,9</w:t>
      </w:r>
      <w:r w:rsidR="000F6F9F">
        <w:t>1 eura, 23,89 eura</w:t>
      </w:r>
      <w:r w:rsidR="00AE0874">
        <w:t xml:space="preserve"> i 33,018 eura), predstavničko tijelo je obvezno  donijeti novu odluku. Ukoliko predstavničko tijelo ne donesene novu odluku sukladno zakonskim odredbama i u roku do 28. veljače 2025. godine visina paušalnog poreza za Grad Veliku Goricu iznosit će 90,00 eura.</w:t>
      </w:r>
    </w:p>
    <w:p w14:paraId="4BB36EE7" w14:textId="4A41408C" w:rsidR="00AE0874" w:rsidRDefault="00AE0874" w:rsidP="00AE0874">
      <w:pPr>
        <w:ind w:firstLine="708"/>
        <w:jc w:val="both"/>
      </w:pPr>
      <w:r>
        <w:t>Uzevši u obzir podatke o broju i kategoriji smještajnih kapaciteta koji se iznajmljuju na području Grada Velike Gorice i uz preporuku Turističke zajednice Velika Gorica, predlaže se donošenje Odluke kojom će se propisati jednaka visina paušalnog poreza na cijelom području Velike Gorice i za sve vrste turističkog smještaja</w:t>
      </w:r>
      <w:r w:rsidR="000F6F9F">
        <w:t xml:space="preserve"> u visini</w:t>
      </w:r>
      <w:r>
        <w:t xml:space="preserve"> </w:t>
      </w:r>
      <w:r w:rsidR="003220D1" w:rsidRPr="003220D1">
        <w:t>45</w:t>
      </w:r>
      <w:r w:rsidRPr="003220D1">
        <w:t>,00</w:t>
      </w:r>
      <w:r w:rsidRPr="008F4EE0">
        <w:t xml:space="preserve"> </w:t>
      </w:r>
      <w:r>
        <w:t xml:space="preserve">eura. </w:t>
      </w:r>
    </w:p>
    <w:p w14:paraId="3DB262AB" w14:textId="77777777" w:rsidR="00AE0874" w:rsidRDefault="00AE0874" w:rsidP="00AE0874">
      <w:pPr>
        <w:ind w:firstLine="708"/>
        <w:jc w:val="both"/>
      </w:pPr>
      <w:r w:rsidRPr="00DB46DF">
        <w:t>Na</w:t>
      </w:r>
      <w:r>
        <w:t xml:space="preserve">pominjemo da </w:t>
      </w:r>
      <w:r w:rsidRPr="00DB46DF">
        <w:t xml:space="preserve"> i dalje, sukladno odredbama Zakona</w:t>
      </w:r>
      <w:r>
        <w:t xml:space="preserve"> o porezu na dohodak</w:t>
      </w:r>
      <w:r w:rsidRPr="00DB46DF">
        <w:t xml:space="preserve"> sve poslove vezane uz utvrđivanje i naplat</w:t>
      </w:r>
      <w:r>
        <w:t>u</w:t>
      </w:r>
      <w:r w:rsidRPr="00DB46DF">
        <w:t xml:space="preserve"> poreza obavlja Porezna uprava.</w:t>
      </w:r>
    </w:p>
    <w:p w14:paraId="7F801049" w14:textId="77777777" w:rsidR="00AE0874" w:rsidRDefault="00AE0874" w:rsidP="00AE0874">
      <w:pPr>
        <w:jc w:val="both"/>
      </w:pPr>
    </w:p>
    <w:p w14:paraId="6EFDBC60" w14:textId="77777777" w:rsidR="004E3096" w:rsidRDefault="00F07ECF" w:rsidP="00AE0874">
      <w:pPr>
        <w:tabs>
          <w:tab w:val="left" w:pos="7335"/>
        </w:tabs>
      </w:pPr>
      <w:r>
        <w:tab/>
      </w:r>
    </w:p>
    <w:p w14:paraId="17309275" w14:textId="77777777" w:rsidR="004E3096" w:rsidRDefault="004E3096" w:rsidP="00F07ECF">
      <w:pPr>
        <w:tabs>
          <w:tab w:val="left" w:pos="7335"/>
        </w:tabs>
      </w:pPr>
    </w:p>
    <w:p w14:paraId="3D6F556A" w14:textId="77777777" w:rsidR="004E3096" w:rsidRDefault="004E3096" w:rsidP="00F07ECF">
      <w:pPr>
        <w:tabs>
          <w:tab w:val="left" w:pos="7335"/>
        </w:tabs>
      </w:pPr>
      <w:r>
        <w:tab/>
      </w:r>
    </w:p>
    <w:p w14:paraId="732CA536" w14:textId="77777777" w:rsidR="004E7787" w:rsidRPr="00BB200C" w:rsidRDefault="004E3096" w:rsidP="00B028FA">
      <w:pPr>
        <w:tabs>
          <w:tab w:val="left" w:pos="7335"/>
        </w:tabs>
      </w:pPr>
      <w:r>
        <w:tab/>
      </w:r>
    </w:p>
    <w:p w14:paraId="12CB036E" w14:textId="77777777" w:rsidR="004E7787" w:rsidRDefault="004E7787" w:rsidP="00E33BCA">
      <w:pPr>
        <w:tabs>
          <w:tab w:val="left" w:pos="7335"/>
        </w:tabs>
        <w:ind w:left="1161" w:firstLine="6627"/>
        <w:jc w:val="center"/>
        <w:rPr>
          <w:i/>
        </w:rPr>
      </w:pPr>
    </w:p>
    <w:p w14:paraId="114F3B5A" w14:textId="77777777" w:rsidR="004E7787" w:rsidRDefault="004E7787" w:rsidP="004E7787">
      <w:pPr>
        <w:tabs>
          <w:tab w:val="left" w:pos="7335"/>
        </w:tabs>
        <w:rPr>
          <w:i/>
        </w:rPr>
      </w:pPr>
    </w:p>
    <w:p w14:paraId="27A49B80" w14:textId="77777777" w:rsidR="00DB46DF" w:rsidRDefault="00DB46DF" w:rsidP="00E33BCA">
      <w:pPr>
        <w:tabs>
          <w:tab w:val="left" w:pos="7335"/>
        </w:tabs>
        <w:ind w:left="1161" w:firstLine="6627"/>
        <w:jc w:val="center"/>
        <w:rPr>
          <w:i/>
        </w:rPr>
      </w:pPr>
    </w:p>
    <w:sectPr w:rsidR="00DB4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8C358" w14:textId="77777777" w:rsidR="002E6669" w:rsidRDefault="002E6669" w:rsidP="00AF25DB">
      <w:r>
        <w:separator/>
      </w:r>
    </w:p>
  </w:endnote>
  <w:endnote w:type="continuationSeparator" w:id="0">
    <w:p w14:paraId="3D0168B4" w14:textId="77777777" w:rsidR="002E6669" w:rsidRDefault="002E6669" w:rsidP="00AF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25D30" w14:textId="77777777" w:rsidR="002E6669" w:rsidRDefault="002E6669" w:rsidP="00AF25DB">
      <w:r>
        <w:separator/>
      </w:r>
    </w:p>
  </w:footnote>
  <w:footnote w:type="continuationSeparator" w:id="0">
    <w:p w14:paraId="6E355A41" w14:textId="77777777" w:rsidR="002E6669" w:rsidRDefault="002E6669" w:rsidP="00AF25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83149"/>
    <w:multiLevelType w:val="hybridMultilevel"/>
    <w:tmpl w:val="1020EB66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B67DB"/>
    <w:multiLevelType w:val="hybridMultilevel"/>
    <w:tmpl w:val="E9D2DE60"/>
    <w:lvl w:ilvl="0" w:tplc="798EB66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EEF0882"/>
    <w:multiLevelType w:val="hybridMultilevel"/>
    <w:tmpl w:val="387C6C66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C06"/>
    <w:rsid w:val="000172A6"/>
    <w:rsid w:val="000315BA"/>
    <w:rsid w:val="00054B8C"/>
    <w:rsid w:val="000606F1"/>
    <w:rsid w:val="00091102"/>
    <w:rsid w:val="000A6063"/>
    <w:rsid w:val="000B251B"/>
    <w:rsid w:val="000C3061"/>
    <w:rsid w:val="000F152C"/>
    <w:rsid w:val="000F5158"/>
    <w:rsid w:val="000F6F9F"/>
    <w:rsid w:val="00141151"/>
    <w:rsid w:val="0018372B"/>
    <w:rsid w:val="0018407E"/>
    <w:rsid w:val="00185A10"/>
    <w:rsid w:val="001A0C57"/>
    <w:rsid w:val="001C0E28"/>
    <w:rsid w:val="0022318A"/>
    <w:rsid w:val="00285E45"/>
    <w:rsid w:val="002C65C9"/>
    <w:rsid w:val="002E24F3"/>
    <w:rsid w:val="002E6669"/>
    <w:rsid w:val="003220D1"/>
    <w:rsid w:val="003238AE"/>
    <w:rsid w:val="00324B65"/>
    <w:rsid w:val="00331C10"/>
    <w:rsid w:val="003508C6"/>
    <w:rsid w:val="00371840"/>
    <w:rsid w:val="00394C3E"/>
    <w:rsid w:val="003A3DE1"/>
    <w:rsid w:val="003A417A"/>
    <w:rsid w:val="003B7445"/>
    <w:rsid w:val="003D2888"/>
    <w:rsid w:val="003E3515"/>
    <w:rsid w:val="003E4FBE"/>
    <w:rsid w:val="003F1A4B"/>
    <w:rsid w:val="004005F7"/>
    <w:rsid w:val="00467DC6"/>
    <w:rsid w:val="00472E47"/>
    <w:rsid w:val="00495C76"/>
    <w:rsid w:val="004A5F45"/>
    <w:rsid w:val="004C3B41"/>
    <w:rsid w:val="004D2B93"/>
    <w:rsid w:val="004E3096"/>
    <w:rsid w:val="004E5C32"/>
    <w:rsid w:val="004E7787"/>
    <w:rsid w:val="004F15D5"/>
    <w:rsid w:val="00503D7D"/>
    <w:rsid w:val="005608D2"/>
    <w:rsid w:val="0057122B"/>
    <w:rsid w:val="005B65C5"/>
    <w:rsid w:val="00611FC7"/>
    <w:rsid w:val="00671EB6"/>
    <w:rsid w:val="006A1950"/>
    <w:rsid w:val="006A3008"/>
    <w:rsid w:val="00722249"/>
    <w:rsid w:val="007276D0"/>
    <w:rsid w:val="0073143A"/>
    <w:rsid w:val="007B0DB5"/>
    <w:rsid w:val="00831953"/>
    <w:rsid w:val="0083636F"/>
    <w:rsid w:val="00844B8A"/>
    <w:rsid w:val="008515C5"/>
    <w:rsid w:val="008F0C53"/>
    <w:rsid w:val="008F361D"/>
    <w:rsid w:val="008F4EE0"/>
    <w:rsid w:val="009010C1"/>
    <w:rsid w:val="00915D30"/>
    <w:rsid w:val="00934607"/>
    <w:rsid w:val="00962CAC"/>
    <w:rsid w:val="00983320"/>
    <w:rsid w:val="00984C63"/>
    <w:rsid w:val="00A1758E"/>
    <w:rsid w:val="00A17931"/>
    <w:rsid w:val="00A61AF1"/>
    <w:rsid w:val="00A765DD"/>
    <w:rsid w:val="00AA0874"/>
    <w:rsid w:val="00AC4AA4"/>
    <w:rsid w:val="00AE0874"/>
    <w:rsid w:val="00AE7C06"/>
    <w:rsid w:val="00AF25DB"/>
    <w:rsid w:val="00B028FA"/>
    <w:rsid w:val="00B31081"/>
    <w:rsid w:val="00B40AE2"/>
    <w:rsid w:val="00B767AF"/>
    <w:rsid w:val="00B84540"/>
    <w:rsid w:val="00BA64F0"/>
    <w:rsid w:val="00BB200C"/>
    <w:rsid w:val="00BE59E2"/>
    <w:rsid w:val="00C040C7"/>
    <w:rsid w:val="00C872A4"/>
    <w:rsid w:val="00CC6C6C"/>
    <w:rsid w:val="00CC72C7"/>
    <w:rsid w:val="00D10E30"/>
    <w:rsid w:val="00D11044"/>
    <w:rsid w:val="00D26A16"/>
    <w:rsid w:val="00D34555"/>
    <w:rsid w:val="00D578B2"/>
    <w:rsid w:val="00D64C7D"/>
    <w:rsid w:val="00D92476"/>
    <w:rsid w:val="00DA42DC"/>
    <w:rsid w:val="00DB46DF"/>
    <w:rsid w:val="00DD2F75"/>
    <w:rsid w:val="00E17C52"/>
    <w:rsid w:val="00E33BCA"/>
    <w:rsid w:val="00E44D8F"/>
    <w:rsid w:val="00EF44AD"/>
    <w:rsid w:val="00F07ECF"/>
    <w:rsid w:val="00F9244D"/>
    <w:rsid w:val="00FF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A06EA"/>
  <w15:chartTrackingRefBased/>
  <w15:docId w15:val="{24EDE8ED-0EB8-4568-86EE-7CA74DB2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9"/>
    <w:qFormat/>
    <w:rsid w:val="000606F1"/>
    <w:pPr>
      <w:keepNext/>
      <w:jc w:val="center"/>
      <w:outlineLvl w:val="0"/>
    </w:pPr>
    <w:rPr>
      <w:b/>
      <w:bCs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AE7C06"/>
    <w:pPr>
      <w:ind w:left="720"/>
      <w:contextualSpacing/>
    </w:pPr>
  </w:style>
  <w:style w:type="paragraph" w:styleId="Bezproreda">
    <w:name w:val="No Spacing"/>
    <w:uiPriority w:val="99"/>
    <w:qFormat/>
    <w:rsid w:val="00AE7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9"/>
    <w:rsid w:val="000606F1"/>
    <w:rPr>
      <w:rFonts w:ascii="Times New Roman" w:eastAsia="Times New Roman" w:hAnsi="Times New Roman" w:cs="Times New Roman"/>
      <w:b/>
      <w:bCs/>
      <w:sz w:val="24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AF25DB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F25D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AF25DB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F25D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1A0C57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A0C57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B069E7-DAA7-4D2F-B841-3D702F82B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Alen Pejić</cp:lastModifiedBy>
  <cp:revision>88</cp:revision>
  <cp:lastPrinted>2019-01-23T08:10:00Z</cp:lastPrinted>
  <dcterms:created xsi:type="dcterms:W3CDTF">2019-01-08T07:40:00Z</dcterms:created>
  <dcterms:modified xsi:type="dcterms:W3CDTF">2025-01-21T11:19:00Z</dcterms:modified>
</cp:coreProperties>
</file>