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AB3AB6" w:rsidRPr="005B3466" w:rsidTr="00601C36">
        <w:tc>
          <w:tcPr>
            <w:tcW w:w="4111" w:type="dxa"/>
            <w:hideMark/>
          </w:tcPr>
          <w:p w:rsidR="00AB3AB6" w:rsidRPr="005B3466" w:rsidRDefault="00AB3AB6" w:rsidP="00AB3AB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60EBE25A" wp14:editId="545793D3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3AB6" w:rsidRPr="005B3466" w:rsidTr="00601C36">
        <w:tc>
          <w:tcPr>
            <w:tcW w:w="4111" w:type="dxa"/>
            <w:hideMark/>
          </w:tcPr>
          <w:p w:rsidR="00AB3AB6" w:rsidRPr="005B3466" w:rsidRDefault="00AB3AB6" w:rsidP="00AB3AB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:rsidR="00AB3AB6" w:rsidRPr="005B3466" w:rsidRDefault="00AB3AB6" w:rsidP="00AB3AB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:rsidR="00AB3AB6" w:rsidRPr="005B3466" w:rsidRDefault="00AB3AB6" w:rsidP="00AB3AB6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:rsidR="00AB3AB6" w:rsidRPr="005B3466" w:rsidRDefault="00AB3AB6" w:rsidP="00AB3AB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B3AB6" w:rsidRPr="005B3466" w:rsidRDefault="00AB3AB6" w:rsidP="00AB3AB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46</w:t>
      </w:r>
    </w:p>
    <w:p w:rsidR="00AB3AB6" w:rsidRPr="005B3466" w:rsidRDefault="00AB3AB6" w:rsidP="00AB3AB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:rsidR="00AB3AB6" w:rsidRPr="005B3466" w:rsidRDefault="00AB3AB6" w:rsidP="00AB3AB6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:rsidR="000C1EB3" w:rsidRDefault="000C1EB3" w:rsidP="00AB3AB6">
      <w:pPr>
        <w:spacing w:after="200" w:line="240" w:lineRule="auto"/>
        <w:rPr>
          <w:rFonts w:ascii="Arial" w:eastAsia="Calibri" w:hAnsi="Arial" w:cs="Arial"/>
        </w:rPr>
      </w:pPr>
    </w:p>
    <w:p w:rsidR="000C1EB3" w:rsidRPr="002E24B5" w:rsidRDefault="000C1EB3" w:rsidP="00AB3AB6">
      <w:pPr>
        <w:spacing w:after="0" w:line="240" w:lineRule="auto"/>
        <w:jc w:val="both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</w:rPr>
        <w:t>Na temelju članka 33. Statuta Grada Velike Gorice („Službeni glasnik Grada Velike Gorice“</w:t>
      </w:r>
      <w:r>
        <w:rPr>
          <w:rFonts w:ascii="Arial" w:eastAsia="Calibri" w:hAnsi="Arial" w:cs="Arial"/>
        </w:rPr>
        <w:t xml:space="preserve"> broj</w:t>
      </w:r>
      <w:r w:rsidRPr="002E24B5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1/21)  </w:t>
      </w:r>
      <w:r w:rsidRPr="002E24B5">
        <w:rPr>
          <w:rFonts w:ascii="Arial" w:eastAsia="Calibri" w:hAnsi="Arial" w:cs="Arial"/>
          <w:color w:val="000000"/>
        </w:rPr>
        <w:t xml:space="preserve">Gradsko vijeće Grada Velike Gorice na </w:t>
      </w:r>
      <w:r w:rsidR="00AB3AB6">
        <w:rPr>
          <w:rFonts w:ascii="Arial" w:eastAsia="Calibri" w:hAnsi="Arial" w:cs="Arial"/>
          <w:color w:val="000000"/>
        </w:rPr>
        <w:t xml:space="preserve">2. </w:t>
      </w:r>
      <w:r w:rsidRPr="002E24B5">
        <w:rPr>
          <w:rFonts w:ascii="Arial" w:eastAsia="Calibri" w:hAnsi="Arial" w:cs="Arial"/>
          <w:color w:val="000000"/>
        </w:rPr>
        <w:t xml:space="preserve">sjednici održanoj </w:t>
      </w:r>
      <w:r w:rsidR="00AB3AB6">
        <w:rPr>
          <w:rFonts w:ascii="Arial" w:eastAsia="Calibri" w:hAnsi="Arial" w:cs="Arial"/>
          <w:color w:val="000000"/>
        </w:rPr>
        <w:t>09. srpnja</w:t>
      </w:r>
      <w:r w:rsidRPr="002E24B5">
        <w:rPr>
          <w:rFonts w:ascii="Arial" w:eastAsia="Calibri" w:hAnsi="Arial" w:cs="Arial"/>
          <w:color w:val="000000"/>
        </w:rPr>
        <w:t xml:space="preserve"> 20</w:t>
      </w:r>
      <w:r>
        <w:rPr>
          <w:rFonts w:ascii="Arial" w:eastAsia="Calibri" w:hAnsi="Arial" w:cs="Arial"/>
          <w:color w:val="000000"/>
        </w:rPr>
        <w:t>2</w:t>
      </w:r>
      <w:r w:rsidR="004061AF">
        <w:rPr>
          <w:rFonts w:ascii="Arial" w:eastAsia="Calibri" w:hAnsi="Arial" w:cs="Arial"/>
          <w:color w:val="000000"/>
        </w:rPr>
        <w:t>5</w:t>
      </w:r>
      <w:r w:rsidRPr="002E24B5">
        <w:rPr>
          <w:rFonts w:ascii="Arial" w:eastAsia="Calibri" w:hAnsi="Arial" w:cs="Arial"/>
          <w:color w:val="000000"/>
        </w:rPr>
        <w:t>. godine donosi</w:t>
      </w:r>
      <w:r w:rsidRPr="002E24B5">
        <w:rPr>
          <w:rFonts w:ascii="Arial" w:eastAsia="Calibri" w:hAnsi="Arial" w:cs="Arial"/>
        </w:rPr>
        <w:tab/>
      </w:r>
    </w:p>
    <w:p w:rsidR="00AB3AB6" w:rsidRDefault="00AB3AB6" w:rsidP="00AB3AB6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</w:p>
    <w:p w:rsidR="000C1EB3" w:rsidRPr="002E24B5" w:rsidRDefault="000C1EB3" w:rsidP="00AB3AB6">
      <w:pPr>
        <w:spacing w:after="0" w:line="240" w:lineRule="auto"/>
        <w:jc w:val="center"/>
        <w:rPr>
          <w:rFonts w:ascii="Arial" w:eastAsia="Calibri" w:hAnsi="Arial" w:cs="Arial"/>
          <w:b/>
          <w:sz w:val="24"/>
        </w:rPr>
      </w:pPr>
      <w:r w:rsidRPr="002E24B5">
        <w:rPr>
          <w:rFonts w:ascii="Arial" w:eastAsia="Calibri" w:hAnsi="Arial" w:cs="Arial"/>
          <w:b/>
          <w:sz w:val="24"/>
        </w:rPr>
        <w:t>ODLUKU</w:t>
      </w:r>
    </w:p>
    <w:p w:rsidR="000C1EB3" w:rsidRPr="002E24B5" w:rsidRDefault="000C1EB3" w:rsidP="00AB3AB6">
      <w:pPr>
        <w:spacing w:after="0" w:line="240" w:lineRule="auto"/>
        <w:jc w:val="center"/>
        <w:rPr>
          <w:rFonts w:ascii="Arial" w:eastAsia="Calibri" w:hAnsi="Arial" w:cs="Arial"/>
        </w:rPr>
      </w:pPr>
      <w:r w:rsidRPr="002E24B5">
        <w:rPr>
          <w:rFonts w:ascii="Arial" w:eastAsia="Calibri" w:hAnsi="Arial" w:cs="Arial"/>
          <w:b/>
          <w:sz w:val="24"/>
        </w:rPr>
        <w:t>o osnivanju</w:t>
      </w:r>
      <w:r>
        <w:rPr>
          <w:rFonts w:ascii="Arial" w:eastAsia="Calibri" w:hAnsi="Arial" w:cs="Arial"/>
          <w:b/>
          <w:sz w:val="24"/>
        </w:rPr>
        <w:t xml:space="preserve"> Gospodarske zone </w:t>
      </w:r>
      <w:proofErr w:type="spellStart"/>
      <w:r>
        <w:rPr>
          <w:rFonts w:ascii="Arial" w:eastAsia="Calibri" w:hAnsi="Arial" w:cs="Arial"/>
          <w:b/>
          <w:sz w:val="24"/>
        </w:rPr>
        <w:t>Kušanec</w:t>
      </w:r>
      <w:proofErr w:type="spellEnd"/>
      <w:r>
        <w:rPr>
          <w:rFonts w:ascii="Arial" w:eastAsia="Calibri" w:hAnsi="Arial" w:cs="Arial"/>
          <w:b/>
          <w:sz w:val="24"/>
        </w:rPr>
        <w:t>-Istok</w:t>
      </w:r>
    </w:p>
    <w:p w:rsidR="000C1EB3" w:rsidRPr="002E24B5" w:rsidRDefault="000C1EB3" w:rsidP="00AB3AB6">
      <w:pPr>
        <w:spacing w:after="200" w:line="240" w:lineRule="auto"/>
        <w:rPr>
          <w:rFonts w:ascii="Arial" w:eastAsia="Calibri" w:hAnsi="Arial" w:cs="Arial"/>
        </w:rPr>
      </w:pPr>
    </w:p>
    <w:p w:rsidR="000C1EB3" w:rsidRPr="002E24B5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</w:rPr>
      </w:pPr>
      <w:r w:rsidRPr="002E24B5">
        <w:rPr>
          <w:rFonts w:ascii="Arial" w:eastAsia="Calibri" w:hAnsi="Arial" w:cs="Arial"/>
          <w:b/>
        </w:rPr>
        <w:t>Članak 1.</w:t>
      </w:r>
    </w:p>
    <w:p w:rsidR="000C1EB3" w:rsidRPr="002E24B5" w:rsidRDefault="000C1EB3" w:rsidP="00AB3AB6">
      <w:pPr>
        <w:spacing w:after="200" w:line="240" w:lineRule="auto"/>
        <w:jc w:val="both"/>
        <w:rPr>
          <w:rFonts w:ascii="Arial" w:eastAsia="Calibri" w:hAnsi="Arial" w:cs="Arial"/>
          <w:color w:val="000000"/>
        </w:rPr>
      </w:pPr>
      <w:r w:rsidRPr="002E24B5">
        <w:rPr>
          <w:rFonts w:ascii="Arial" w:eastAsia="Calibri" w:hAnsi="Arial" w:cs="Arial"/>
        </w:rPr>
        <w:t xml:space="preserve">Ovom se Odlukom osniva </w:t>
      </w:r>
      <w:bookmarkStart w:id="0" w:name="_Hlk165897387"/>
      <w:r>
        <w:rPr>
          <w:rFonts w:ascii="Arial" w:eastAsia="Calibri" w:hAnsi="Arial" w:cs="Arial"/>
        </w:rPr>
        <w:t xml:space="preserve">Gospodarska zona </w:t>
      </w:r>
      <w:proofErr w:type="spellStart"/>
      <w:r>
        <w:rPr>
          <w:rFonts w:ascii="Arial" w:eastAsia="Calibri" w:hAnsi="Arial" w:cs="Arial"/>
        </w:rPr>
        <w:t>Kušanec</w:t>
      </w:r>
      <w:proofErr w:type="spellEnd"/>
      <w:r>
        <w:rPr>
          <w:rFonts w:ascii="Arial" w:eastAsia="Calibri" w:hAnsi="Arial" w:cs="Arial"/>
        </w:rPr>
        <w:t>-Istok</w:t>
      </w:r>
      <w:r w:rsidRPr="002E24B5">
        <w:rPr>
          <w:rFonts w:ascii="Arial" w:eastAsia="Calibri" w:hAnsi="Arial" w:cs="Arial"/>
        </w:rPr>
        <w:t xml:space="preserve"> </w:t>
      </w:r>
      <w:bookmarkEnd w:id="0"/>
      <w:r w:rsidRPr="002E24B5">
        <w:rPr>
          <w:rFonts w:ascii="Arial" w:eastAsia="Calibri" w:hAnsi="Arial" w:cs="Arial"/>
        </w:rPr>
        <w:t>koja se nalazi unutar granica Prostornog plana uređenja Grada Velike Gorice („Službeni glasnik Grada Velike Gorice“, broj 10/06., 06/08., 05/14., 06/14., 02/15</w:t>
      </w:r>
      <w:r>
        <w:rPr>
          <w:rFonts w:ascii="Arial" w:eastAsia="Calibri" w:hAnsi="Arial" w:cs="Arial"/>
        </w:rPr>
        <w:t>, 03/23</w:t>
      </w:r>
      <w:r w:rsidRPr="002E24B5">
        <w:rPr>
          <w:rFonts w:ascii="Arial" w:eastAsia="Calibri" w:hAnsi="Arial" w:cs="Arial"/>
        </w:rPr>
        <w:t>) i</w:t>
      </w:r>
      <w:r w:rsidRPr="002E24B5">
        <w:rPr>
          <w:rFonts w:ascii="Arial" w:eastAsia="Calibri" w:hAnsi="Arial" w:cs="Arial"/>
          <w:color w:val="000000"/>
        </w:rPr>
        <w:t xml:space="preserve"> Urbanističkog plana uređenja</w:t>
      </w:r>
      <w:r w:rsidRPr="000D0D56">
        <w:t xml:space="preserve"> </w:t>
      </w:r>
      <w:r w:rsidRPr="000D0D56">
        <w:rPr>
          <w:rFonts w:ascii="Arial" w:eastAsia="Calibri" w:hAnsi="Arial" w:cs="Arial"/>
          <w:color w:val="000000"/>
        </w:rPr>
        <w:t>Gospodarsk</w:t>
      </w:r>
      <w:r>
        <w:rPr>
          <w:rFonts w:ascii="Arial" w:eastAsia="Calibri" w:hAnsi="Arial" w:cs="Arial"/>
          <w:color w:val="000000"/>
        </w:rPr>
        <w:t>e</w:t>
      </w:r>
      <w:r w:rsidRPr="000D0D56">
        <w:rPr>
          <w:rFonts w:ascii="Arial" w:eastAsia="Calibri" w:hAnsi="Arial" w:cs="Arial"/>
          <w:color w:val="000000"/>
        </w:rPr>
        <w:t xml:space="preserve"> zona </w:t>
      </w:r>
      <w:proofErr w:type="spellStart"/>
      <w:r w:rsidRPr="000D0D56">
        <w:rPr>
          <w:rFonts w:ascii="Arial" w:eastAsia="Calibri" w:hAnsi="Arial" w:cs="Arial"/>
          <w:color w:val="000000"/>
        </w:rPr>
        <w:t>Kušanec</w:t>
      </w:r>
      <w:proofErr w:type="spellEnd"/>
      <w:r w:rsidRPr="000D0D56">
        <w:rPr>
          <w:rFonts w:ascii="Arial" w:eastAsia="Calibri" w:hAnsi="Arial" w:cs="Arial"/>
          <w:color w:val="000000"/>
        </w:rPr>
        <w:t>-</w:t>
      </w:r>
      <w:r>
        <w:rPr>
          <w:rFonts w:ascii="Arial" w:eastAsia="Calibri" w:hAnsi="Arial" w:cs="Arial"/>
          <w:color w:val="000000"/>
        </w:rPr>
        <w:t>I</w:t>
      </w:r>
      <w:r w:rsidRPr="000D0D56">
        <w:rPr>
          <w:rFonts w:ascii="Arial" w:eastAsia="Calibri" w:hAnsi="Arial" w:cs="Arial"/>
          <w:color w:val="000000"/>
        </w:rPr>
        <w:t>stok</w:t>
      </w:r>
      <w:r w:rsidRPr="002E24B5">
        <w:rPr>
          <w:rFonts w:ascii="Arial" w:eastAsia="Calibri" w:hAnsi="Arial" w:cs="Arial"/>
          <w:color w:val="000000"/>
        </w:rPr>
        <w:t xml:space="preserve"> („Službeni glasnik Grada Velike Gorice“, broj </w:t>
      </w:r>
      <w:r>
        <w:rPr>
          <w:rFonts w:ascii="Arial" w:eastAsia="Calibri" w:hAnsi="Arial" w:cs="Arial"/>
          <w:color w:val="000000"/>
        </w:rPr>
        <w:t>01/2011</w:t>
      </w:r>
      <w:r w:rsidRPr="002E24B5">
        <w:rPr>
          <w:rFonts w:ascii="Arial" w:eastAsia="Calibri" w:hAnsi="Arial" w:cs="Arial"/>
          <w:color w:val="000000"/>
        </w:rPr>
        <w:t>.)</w:t>
      </w:r>
      <w:r>
        <w:rPr>
          <w:rFonts w:ascii="Arial" w:eastAsia="Calibri" w:hAnsi="Arial" w:cs="Arial"/>
          <w:color w:val="000000"/>
        </w:rPr>
        <w:t>.</w:t>
      </w:r>
    </w:p>
    <w:p w:rsidR="000C1EB3" w:rsidRPr="002E24B5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bookmarkStart w:id="1" w:name="_GoBack"/>
      <w:bookmarkEnd w:id="1"/>
      <w:r w:rsidRPr="002E24B5">
        <w:rPr>
          <w:rFonts w:ascii="Arial" w:eastAsia="Calibri" w:hAnsi="Arial" w:cs="Arial"/>
          <w:b/>
          <w:color w:val="000000"/>
        </w:rPr>
        <w:t>Članak 2.</w:t>
      </w:r>
    </w:p>
    <w:p w:rsidR="00BF3B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Gospodarska zona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>-Istok</w:t>
      </w:r>
      <w:r w:rsidRPr="002E24B5">
        <w:rPr>
          <w:rFonts w:ascii="Arial" w:eastAsia="Calibri" w:hAnsi="Arial" w:cs="Arial"/>
          <w:color w:val="000000"/>
        </w:rPr>
        <w:t xml:space="preserve"> obuhvaća sljedeće katastarske odnosno zemljišnoknjižne čestice  u katastarskoj općini </w:t>
      </w:r>
      <w:r>
        <w:rPr>
          <w:rFonts w:ascii="Arial" w:eastAsia="Calibri" w:hAnsi="Arial" w:cs="Arial"/>
          <w:color w:val="000000"/>
        </w:rPr>
        <w:t>Kurilovec Novi</w:t>
      </w:r>
      <w:r w:rsidRPr="002E24B5">
        <w:rPr>
          <w:rFonts w:ascii="Arial" w:eastAsia="Calibri" w:hAnsi="Arial" w:cs="Arial"/>
          <w:color w:val="000000"/>
        </w:rPr>
        <w:t xml:space="preserve">: </w:t>
      </w:r>
    </w:p>
    <w:tbl>
      <w:tblPr>
        <w:tblW w:w="9589" w:type="dxa"/>
        <w:tblLook w:val="04A0" w:firstRow="1" w:lastRow="0" w:firstColumn="1" w:lastColumn="0" w:noHBand="0" w:noVBand="1"/>
      </w:tblPr>
      <w:tblGrid>
        <w:gridCol w:w="2069"/>
        <w:gridCol w:w="3760"/>
        <w:gridCol w:w="3760"/>
      </w:tblGrid>
      <w:tr w:rsidR="00FE090A" w:rsidRPr="00FE090A" w:rsidTr="00FE090A">
        <w:trPr>
          <w:trHeight w:val="278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Redni broj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Katastarska čestica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ZK uložak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2324/1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2324/2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1996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2325/3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2325/4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2159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2336/1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2336/2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8.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2338/1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10.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2338/2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2339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1997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2340/1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13.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2340/2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14.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2345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1984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15.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2346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1993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16.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2347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2000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17.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2348/1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1995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18.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2348/2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1995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19.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2349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1999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20.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2350/1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21.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2350/2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2002</w:t>
            </w:r>
          </w:p>
        </w:tc>
      </w:tr>
      <w:tr w:rsidR="00FE090A" w:rsidRPr="00FE090A" w:rsidTr="00FE090A">
        <w:trPr>
          <w:trHeight w:val="278"/>
        </w:trPr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color w:val="000000"/>
                <w:lang w:eastAsia="hr-HR"/>
              </w:rPr>
              <w:t>22.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hr-HR"/>
              </w:rPr>
            </w:pPr>
            <w:r w:rsidRPr="00FE090A">
              <w:rPr>
                <w:rFonts w:ascii="Calibri" w:eastAsia="Times New Roman" w:hAnsi="Calibri" w:cs="Calibri"/>
                <w:lang w:eastAsia="hr-HR"/>
              </w:rPr>
              <w:t>2352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90A" w:rsidRPr="00FE090A" w:rsidRDefault="00FE090A" w:rsidP="00AB3AB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hr-HR"/>
              </w:rPr>
            </w:pPr>
            <w:r w:rsidRPr="00FE090A">
              <w:rPr>
                <w:rFonts w:ascii="Arial" w:eastAsia="Times New Roman" w:hAnsi="Arial" w:cs="Arial"/>
                <w:sz w:val="20"/>
                <w:szCs w:val="20"/>
                <w:lang w:eastAsia="hr-HR"/>
              </w:rPr>
              <w:t>1998</w:t>
            </w:r>
          </w:p>
        </w:tc>
      </w:tr>
    </w:tbl>
    <w:p w:rsidR="000C1EB3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3.</w:t>
      </w:r>
    </w:p>
    <w:p w:rsidR="000C1EB3" w:rsidRPr="00E7140C" w:rsidRDefault="000C1EB3" w:rsidP="00AB3AB6">
      <w:pPr>
        <w:spacing w:line="240" w:lineRule="auto"/>
        <w:jc w:val="both"/>
        <w:rPr>
          <w:rFonts w:ascii="Arial" w:eastAsia="Calibri" w:hAnsi="Arial" w:cs="Arial"/>
        </w:rPr>
      </w:pPr>
      <w:r w:rsidRPr="00E7140C">
        <w:rPr>
          <w:rFonts w:ascii="Arial" w:eastAsia="Calibri" w:hAnsi="Arial" w:cs="Arial"/>
          <w:color w:val="000000"/>
        </w:rPr>
        <w:t xml:space="preserve">Ukupna površina </w:t>
      </w:r>
      <w:r>
        <w:rPr>
          <w:rFonts w:ascii="Arial" w:eastAsia="Calibri" w:hAnsi="Arial" w:cs="Arial"/>
          <w:color w:val="000000"/>
        </w:rPr>
        <w:t xml:space="preserve">Gospodarske zone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iznosi </w:t>
      </w:r>
      <w:r>
        <w:rPr>
          <w:rFonts w:ascii="Arial" w:eastAsia="Calibri" w:hAnsi="Arial" w:cs="Arial"/>
          <w:color w:val="000000"/>
        </w:rPr>
        <w:t>cca 51,62</w:t>
      </w:r>
      <w:r w:rsidRPr="00E7140C">
        <w:rPr>
          <w:rFonts w:ascii="Arial" w:eastAsia="Calibri" w:hAnsi="Arial" w:cs="Arial"/>
          <w:color w:val="000000"/>
        </w:rPr>
        <w:t xml:space="preserve"> ha</w:t>
      </w:r>
      <w:r>
        <w:rPr>
          <w:rFonts w:ascii="Arial" w:eastAsia="Calibri" w:hAnsi="Arial" w:cs="Arial"/>
          <w:color w:val="000000"/>
        </w:rPr>
        <w:t xml:space="preserve"> te </w:t>
      </w:r>
      <w:r w:rsidRPr="00E7140C">
        <w:rPr>
          <w:rFonts w:ascii="Arial" w:eastAsia="Calibri" w:hAnsi="Arial" w:cs="Arial"/>
          <w:color w:val="000000"/>
        </w:rPr>
        <w:t xml:space="preserve">prema veličini ukupne površine spada u </w:t>
      </w:r>
      <w:r>
        <w:rPr>
          <w:rFonts w:ascii="Arial" w:eastAsia="Calibri" w:hAnsi="Arial" w:cs="Arial"/>
          <w:color w:val="000000"/>
        </w:rPr>
        <w:t>srednje</w:t>
      </w:r>
      <w:r w:rsidRPr="00E7140C">
        <w:rPr>
          <w:rFonts w:ascii="Arial" w:eastAsia="Calibri" w:hAnsi="Arial" w:cs="Arial"/>
          <w:color w:val="000000"/>
        </w:rPr>
        <w:t xml:space="preserve"> zone (od </w:t>
      </w:r>
      <w:r>
        <w:rPr>
          <w:rFonts w:ascii="Arial" w:eastAsia="Calibri" w:hAnsi="Arial" w:cs="Arial"/>
          <w:color w:val="000000"/>
        </w:rPr>
        <w:t>50</w:t>
      </w:r>
      <w:r w:rsidRPr="00E7140C">
        <w:rPr>
          <w:rFonts w:ascii="Arial" w:eastAsia="Calibri" w:hAnsi="Arial" w:cs="Arial"/>
          <w:color w:val="000000"/>
        </w:rPr>
        <w:t xml:space="preserve"> do </w:t>
      </w:r>
      <w:r>
        <w:rPr>
          <w:rFonts w:ascii="Arial" w:eastAsia="Calibri" w:hAnsi="Arial" w:cs="Arial"/>
          <w:color w:val="000000"/>
        </w:rPr>
        <w:t>10</w:t>
      </w:r>
      <w:r w:rsidRPr="00E7140C">
        <w:rPr>
          <w:rFonts w:ascii="Arial" w:eastAsia="Calibri" w:hAnsi="Arial" w:cs="Arial"/>
          <w:color w:val="000000"/>
        </w:rPr>
        <w:t xml:space="preserve">0 ha). Nalazi </w:t>
      </w:r>
      <w:r>
        <w:rPr>
          <w:rFonts w:ascii="Arial" w:eastAsia="Calibri" w:hAnsi="Arial" w:cs="Arial"/>
          <w:color w:val="000000"/>
        </w:rPr>
        <w:t xml:space="preserve">se u južnom dijelu naselja,  3 km od centra Velike Gorice, </w:t>
      </w:r>
      <w:r>
        <w:rPr>
          <w:rFonts w:ascii="Arial" w:eastAsia="Calibri" w:hAnsi="Arial" w:cs="Arial"/>
        </w:rPr>
        <w:t>s</w:t>
      </w:r>
      <w:r w:rsidRPr="0005727C">
        <w:rPr>
          <w:rFonts w:ascii="Arial" w:eastAsia="Calibri" w:hAnsi="Arial" w:cs="Arial"/>
        </w:rPr>
        <w:t xml:space="preserve">mještena uz državnu cestu D31 Velika Gorica - Pokupsko sa sjeverozapadne strane, autocestu A11 Zagreb </w:t>
      </w:r>
      <w:r>
        <w:rPr>
          <w:rFonts w:ascii="Arial" w:eastAsia="Calibri" w:hAnsi="Arial" w:cs="Arial"/>
        </w:rPr>
        <w:t>-</w:t>
      </w:r>
      <w:r w:rsidRPr="0005727C">
        <w:rPr>
          <w:rFonts w:ascii="Arial" w:eastAsia="Calibri" w:hAnsi="Arial" w:cs="Arial"/>
        </w:rPr>
        <w:t xml:space="preserve"> Sisak sa sjeveroistočne strane i kanal Sava </w:t>
      </w:r>
      <w:r>
        <w:rPr>
          <w:rFonts w:ascii="Arial" w:eastAsia="Calibri" w:hAnsi="Arial" w:cs="Arial"/>
        </w:rPr>
        <w:t>-</w:t>
      </w:r>
      <w:r w:rsidRPr="0005727C">
        <w:rPr>
          <w:rFonts w:ascii="Arial" w:eastAsia="Calibri" w:hAnsi="Arial" w:cs="Arial"/>
        </w:rPr>
        <w:t xml:space="preserve"> Odra sa jugozapadne strane.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4.</w:t>
      </w:r>
    </w:p>
    <w:p w:rsidR="000C1EB3" w:rsidRPr="00E7140C" w:rsidRDefault="000C1EB3" w:rsidP="00AB3AB6">
      <w:pPr>
        <w:spacing w:after="200" w:line="240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 xml:space="preserve">Nositelj i organizator razvoja </w:t>
      </w:r>
      <w:r>
        <w:rPr>
          <w:rFonts w:ascii="Arial" w:eastAsia="Calibri" w:hAnsi="Arial" w:cs="Arial"/>
          <w:color w:val="000000"/>
        </w:rPr>
        <w:t xml:space="preserve">Gospodarske zone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je Grad Velika Gorica.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5.</w:t>
      </w:r>
    </w:p>
    <w:p w:rsidR="000C1EB3" w:rsidRPr="00E7140C" w:rsidRDefault="000C1EB3" w:rsidP="00AB3AB6">
      <w:pPr>
        <w:spacing w:after="200" w:line="240" w:lineRule="auto"/>
        <w:jc w:val="both"/>
        <w:rPr>
          <w:rFonts w:ascii="Arial" w:eastAsia="Calibri" w:hAnsi="Arial" w:cs="Arial"/>
          <w:color w:val="000000"/>
        </w:rPr>
      </w:pPr>
      <w:r>
        <w:rPr>
          <w:rFonts w:ascii="Arial" w:eastAsia="Calibri" w:hAnsi="Arial" w:cs="Arial"/>
          <w:color w:val="000000"/>
        </w:rPr>
        <w:t xml:space="preserve">Gospodarska zona </w:t>
      </w:r>
      <w:proofErr w:type="spellStart"/>
      <w:r>
        <w:rPr>
          <w:rFonts w:ascii="Arial" w:eastAsia="Calibri" w:hAnsi="Arial" w:cs="Arial"/>
          <w:color w:val="000000"/>
        </w:rPr>
        <w:t>Kušanec</w:t>
      </w:r>
      <w:proofErr w:type="spellEnd"/>
      <w:r>
        <w:rPr>
          <w:rFonts w:ascii="Arial" w:eastAsia="Calibri" w:hAnsi="Arial" w:cs="Arial"/>
          <w:color w:val="000000"/>
        </w:rPr>
        <w:t xml:space="preserve">-Istok </w:t>
      </w:r>
      <w:r w:rsidRPr="00E7140C">
        <w:rPr>
          <w:rFonts w:ascii="Arial" w:eastAsia="Calibri" w:hAnsi="Arial" w:cs="Arial"/>
          <w:color w:val="000000"/>
        </w:rPr>
        <w:t xml:space="preserve"> definirana je Prostornim planom uređenja Grada Velike Gorice kao izdvojeno građevinsko područje proizvodno-poslovne namjene. Urbanističkim planom uređenja Zone detaljnije je uređena namjena prostora, način i uvjeti gradnje te definiran i rezerviran prostor za izgradnju infrastrukturnih građevina i mreža.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>Članak 6.</w:t>
      </w:r>
    </w:p>
    <w:p w:rsidR="000C1EB3" w:rsidRPr="00E7140C" w:rsidRDefault="000C1EB3" w:rsidP="00AB3AB6">
      <w:pPr>
        <w:spacing w:after="200" w:line="240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>Sastavni dio ove Odluke čin</w:t>
      </w:r>
      <w:r>
        <w:rPr>
          <w:rFonts w:ascii="Arial" w:eastAsia="Calibri" w:hAnsi="Arial" w:cs="Arial"/>
          <w:color w:val="000000"/>
        </w:rPr>
        <w:t>i</w:t>
      </w:r>
      <w:r w:rsidRPr="00E7140C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</w:rPr>
        <w:t>G</w:t>
      </w:r>
      <w:r w:rsidRPr="00E7140C">
        <w:rPr>
          <w:rFonts w:ascii="Arial" w:eastAsia="Calibri" w:hAnsi="Arial" w:cs="Arial"/>
        </w:rPr>
        <w:t>rafički prikaz obuhvata</w:t>
      </w:r>
      <w:r>
        <w:rPr>
          <w:rFonts w:ascii="Arial" w:eastAsia="Calibri" w:hAnsi="Arial" w:cs="Arial"/>
        </w:rPr>
        <w:t xml:space="preserve"> Gospodarske zone </w:t>
      </w:r>
      <w:proofErr w:type="spellStart"/>
      <w:r>
        <w:rPr>
          <w:rFonts w:ascii="Arial" w:eastAsia="Calibri" w:hAnsi="Arial" w:cs="Arial"/>
        </w:rPr>
        <w:t>Kušanec</w:t>
      </w:r>
      <w:proofErr w:type="spellEnd"/>
      <w:r>
        <w:rPr>
          <w:rFonts w:ascii="Arial" w:eastAsia="Calibri" w:hAnsi="Arial" w:cs="Arial"/>
        </w:rPr>
        <w:t>-Istok</w:t>
      </w:r>
      <w:r w:rsidRPr="00E7140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 xml:space="preserve"> iz Članka 1. </w:t>
      </w:r>
      <w:r w:rsidRPr="00E7140C">
        <w:rPr>
          <w:rFonts w:ascii="Arial" w:eastAsia="Calibri" w:hAnsi="Arial" w:cs="Arial"/>
        </w:rPr>
        <w:t>na katastarskoj podlozi.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D5719C" w:rsidRDefault="000C1EB3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bookmarkStart w:id="2" w:name="_Hlk200353443"/>
      <w:r w:rsidRPr="00D5719C">
        <w:rPr>
          <w:rFonts w:ascii="Arial" w:eastAsia="Calibri" w:hAnsi="Arial" w:cs="Arial"/>
          <w:b/>
          <w:color w:val="000000"/>
        </w:rPr>
        <w:t>Članak 7.</w:t>
      </w:r>
    </w:p>
    <w:bookmarkEnd w:id="2"/>
    <w:p w:rsidR="004061AF" w:rsidRPr="004061AF" w:rsidRDefault="004061AF" w:rsidP="00AB3AB6">
      <w:pPr>
        <w:spacing w:after="200" w:line="240" w:lineRule="auto"/>
        <w:jc w:val="both"/>
        <w:rPr>
          <w:rFonts w:ascii="Arial" w:eastAsia="Calibri" w:hAnsi="Arial" w:cs="Arial"/>
        </w:rPr>
      </w:pPr>
      <w:r w:rsidRPr="004061AF">
        <w:rPr>
          <w:rFonts w:ascii="Arial" w:eastAsia="Calibri" w:hAnsi="Arial" w:cs="Arial"/>
        </w:rPr>
        <w:t xml:space="preserve">Stupanjem na snagu ove Odluke stavlja se izvan snage Odluka o osnivanju </w:t>
      </w:r>
      <w:r w:rsidR="00D5719C" w:rsidRPr="00D5719C">
        <w:rPr>
          <w:rFonts w:ascii="Arial" w:eastAsia="Calibri" w:hAnsi="Arial" w:cs="Arial"/>
        </w:rPr>
        <w:t xml:space="preserve">Gospodarske zone </w:t>
      </w:r>
      <w:proofErr w:type="spellStart"/>
      <w:r w:rsidR="00D5719C" w:rsidRPr="00D5719C">
        <w:rPr>
          <w:rFonts w:ascii="Arial" w:eastAsia="Calibri" w:hAnsi="Arial" w:cs="Arial"/>
        </w:rPr>
        <w:t>Kušanec</w:t>
      </w:r>
      <w:proofErr w:type="spellEnd"/>
      <w:r w:rsidR="00D5719C" w:rsidRPr="00D5719C">
        <w:rPr>
          <w:rFonts w:ascii="Arial" w:eastAsia="Calibri" w:hAnsi="Arial" w:cs="Arial"/>
        </w:rPr>
        <w:t xml:space="preserve">-Istok </w:t>
      </w:r>
      <w:r w:rsidRPr="004061AF">
        <w:rPr>
          <w:rFonts w:ascii="Arial" w:eastAsia="Calibri" w:hAnsi="Arial" w:cs="Arial"/>
        </w:rPr>
        <w:t xml:space="preserve"> („Službeni glasnik Grada Velike Gorice“ 0</w:t>
      </w:r>
      <w:r w:rsidR="00D5719C" w:rsidRPr="00D5719C">
        <w:rPr>
          <w:rFonts w:ascii="Arial" w:eastAsia="Calibri" w:hAnsi="Arial" w:cs="Arial"/>
        </w:rPr>
        <w:t>2/24</w:t>
      </w:r>
      <w:r w:rsidRPr="004061AF">
        <w:rPr>
          <w:rFonts w:ascii="Arial" w:eastAsia="Calibri" w:hAnsi="Arial" w:cs="Arial"/>
        </w:rPr>
        <w:t>.).</w:t>
      </w:r>
    </w:p>
    <w:p w:rsidR="004061AF" w:rsidRDefault="004061AF" w:rsidP="00AB3AB6">
      <w:pPr>
        <w:spacing w:after="200" w:line="240" w:lineRule="auto"/>
        <w:rPr>
          <w:rFonts w:ascii="Arial" w:eastAsia="Calibri" w:hAnsi="Arial" w:cs="Arial"/>
          <w:b/>
          <w:color w:val="000000"/>
        </w:rPr>
      </w:pPr>
    </w:p>
    <w:p w:rsidR="004061AF" w:rsidRPr="00E7140C" w:rsidRDefault="004061AF" w:rsidP="00AB3AB6">
      <w:pPr>
        <w:spacing w:after="200" w:line="240" w:lineRule="auto"/>
        <w:jc w:val="center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Članak </w:t>
      </w:r>
      <w:r>
        <w:rPr>
          <w:rFonts w:ascii="Arial" w:eastAsia="Calibri" w:hAnsi="Arial" w:cs="Arial"/>
          <w:b/>
          <w:color w:val="000000"/>
        </w:rPr>
        <w:t>8</w:t>
      </w:r>
      <w:r w:rsidRPr="00E7140C">
        <w:rPr>
          <w:rFonts w:ascii="Arial" w:eastAsia="Calibri" w:hAnsi="Arial" w:cs="Arial"/>
          <w:b/>
          <w:color w:val="000000"/>
        </w:rPr>
        <w:t>.</w:t>
      </w:r>
    </w:p>
    <w:p w:rsidR="000C1EB3" w:rsidRPr="00E7140C" w:rsidRDefault="000C1EB3" w:rsidP="00AB3AB6">
      <w:pPr>
        <w:spacing w:after="200" w:line="240" w:lineRule="auto"/>
        <w:jc w:val="both"/>
        <w:rPr>
          <w:rFonts w:ascii="Arial" w:eastAsia="Calibri" w:hAnsi="Arial" w:cs="Arial"/>
          <w:color w:val="000000"/>
        </w:rPr>
      </w:pPr>
      <w:r w:rsidRPr="00E7140C">
        <w:rPr>
          <w:rFonts w:ascii="Arial" w:eastAsia="Calibri" w:hAnsi="Arial" w:cs="Arial"/>
          <w:color w:val="000000"/>
        </w:rPr>
        <w:t>Ova Odluka stupa na snagu osmog dana po objavi u Službenom glasniku Grada Velike Gorice.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0C1EB3" w:rsidRPr="00E7140C" w:rsidRDefault="000C1EB3" w:rsidP="00AB3AB6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:rsidR="000C1EB3" w:rsidRPr="00E7140C" w:rsidRDefault="000C1EB3" w:rsidP="00AB3AB6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</w:t>
      </w:r>
      <w:r w:rsidRPr="00E7140C">
        <w:rPr>
          <w:rFonts w:ascii="Arial" w:eastAsia="Calibri" w:hAnsi="Arial" w:cs="Arial"/>
          <w:b/>
          <w:color w:val="000000"/>
        </w:rPr>
        <w:tab/>
        <w:t xml:space="preserve">                                                          PREDSJEDNIK GRADSKOG VIJEĆA</w:t>
      </w:r>
    </w:p>
    <w:p w:rsidR="005B5930" w:rsidRDefault="000C1EB3" w:rsidP="00AB3AB6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E7140C">
        <w:rPr>
          <w:rFonts w:ascii="Arial" w:eastAsia="Calibri" w:hAnsi="Arial" w:cs="Arial"/>
          <w:b/>
          <w:color w:val="000000"/>
        </w:rPr>
        <w:t xml:space="preserve">   </w:t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 w:rsidRPr="00E7140C">
        <w:rPr>
          <w:rFonts w:ascii="Arial" w:eastAsia="Calibri" w:hAnsi="Arial" w:cs="Arial"/>
          <w:b/>
          <w:color w:val="000000"/>
        </w:rPr>
        <w:tab/>
      </w:r>
      <w:r>
        <w:rPr>
          <w:rFonts w:ascii="Arial" w:eastAsia="Calibri" w:hAnsi="Arial" w:cs="Arial"/>
          <w:b/>
          <w:color w:val="000000"/>
        </w:rPr>
        <w:t xml:space="preserve">     </w:t>
      </w:r>
    </w:p>
    <w:p w:rsidR="000C1EB3" w:rsidRPr="00E7140C" w:rsidRDefault="005B5930" w:rsidP="00AB3AB6">
      <w:pPr>
        <w:spacing w:after="0" w:line="240" w:lineRule="auto"/>
        <w:rPr>
          <w:rFonts w:ascii="Arial" w:eastAsia="Calibri" w:hAnsi="Arial" w:cs="Arial"/>
          <w:b/>
          <w:i/>
          <w:color w:val="000000"/>
        </w:rPr>
      </w:pPr>
      <w:r>
        <w:rPr>
          <w:rFonts w:ascii="Arial" w:eastAsia="Calibri" w:hAnsi="Arial" w:cs="Arial"/>
          <w:b/>
          <w:color w:val="000000"/>
        </w:rPr>
        <w:t xml:space="preserve">                                                                            </w:t>
      </w:r>
      <w:r w:rsidR="000C1EB3">
        <w:rPr>
          <w:rFonts w:ascii="Arial" w:eastAsia="Calibri" w:hAnsi="Arial" w:cs="Arial"/>
          <w:b/>
          <w:color w:val="000000"/>
        </w:rPr>
        <w:t xml:space="preserve">   Darko Bekić</w:t>
      </w:r>
      <w:r w:rsidR="000C1EB3" w:rsidRPr="00E7140C">
        <w:rPr>
          <w:rFonts w:ascii="Arial" w:eastAsia="Calibri" w:hAnsi="Arial" w:cs="Arial"/>
          <w:b/>
          <w:i/>
          <w:color w:val="000000"/>
        </w:rPr>
        <w:t xml:space="preserve">, </w:t>
      </w:r>
      <w:proofErr w:type="spellStart"/>
      <w:r w:rsidR="000C1EB3" w:rsidRPr="0005727C">
        <w:rPr>
          <w:rFonts w:ascii="Arial" w:eastAsia="Calibri" w:hAnsi="Arial" w:cs="Arial"/>
          <w:b/>
          <w:color w:val="000000"/>
        </w:rPr>
        <w:t>univ.spec.pol</w:t>
      </w:r>
      <w:proofErr w:type="spellEnd"/>
      <w:r w:rsidR="000C1EB3" w:rsidRPr="0005727C">
        <w:rPr>
          <w:rFonts w:ascii="Arial" w:eastAsia="Calibri" w:hAnsi="Arial" w:cs="Arial"/>
          <w:b/>
          <w:color w:val="000000"/>
        </w:rPr>
        <w:t>.</w:t>
      </w:r>
    </w:p>
    <w:p w:rsidR="000C1EB3" w:rsidRPr="00E7140C" w:rsidRDefault="000C1EB3" w:rsidP="00AB3AB6">
      <w:pPr>
        <w:spacing w:after="200" w:line="240" w:lineRule="auto"/>
        <w:rPr>
          <w:rFonts w:ascii="Arial" w:eastAsia="Calibri" w:hAnsi="Arial" w:cs="Arial"/>
          <w:color w:val="000000"/>
        </w:rPr>
      </w:pPr>
    </w:p>
    <w:p w:rsidR="00604242" w:rsidRDefault="00604242" w:rsidP="00AB3AB6">
      <w:pPr>
        <w:spacing w:line="240" w:lineRule="auto"/>
      </w:pPr>
    </w:p>
    <w:sectPr w:rsidR="00604242" w:rsidSect="00AB3AB6">
      <w:pgSz w:w="11906" w:h="16838"/>
      <w:pgMar w:top="568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EB3"/>
    <w:rsid w:val="000C1EB3"/>
    <w:rsid w:val="0015321A"/>
    <w:rsid w:val="004061AF"/>
    <w:rsid w:val="005B5930"/>
    <w:rsid w:val="00604242"/>
    <w:rsid w:val="00680242"/>
    <w:rsid w:val="00AB3AB6"/>
    <w:rsid w:val="00B6619C"/>
    <w:rsid w:val="00BF3B0C"/>
    <w:rsid w:val="00D5719C"/>
    <w:rsid w:val="00FE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1662"/>
  <w15:chartTrackingRefBased/>
  <w15:docId w15:val="{56C404CA-18F5-4AC1-A6B1-863800FD6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61A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680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80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61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Vatavuk Rozić</dc:creator>
  <cp:keywords/>
  <dc:description/>
  <cp:lastModifiedBy>Kristina</cp:lastModifiedBy>
  <cp:revision>2</cp:revision>
  <cp:lastPrinted>2025-07-11T10:48:00Z</cp:lastPrinted>
  <dcterms:created xsi:type="dcterms:W3CDTF">2025-07-11T10:48:00Z</dcterms:created>
  <dcterms:modified xsi:type="dcterms:W3CDTF">2025-07-11T10:48:00Z</dcterms:modified>
</cp:coreProperties>
</file>